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E3D" w:rsidRDefault="000F5E3D" w:rsidP="000F5E3D">
      <w:pPr>
        <w:keepNext/>
        <w:spacing w:after="0"/>
        <w:jc w:val="both"/>
        <w:outlineLvl w:val="0"/>
        <w:rPr>
          <w:rFonts w:ascii="B Zar" w:eastAsia="Times New Roman" w:hAnsi="B Zar" w:cs="B Zar"/>
          <w:b/>
          <w:bCs/>
          <w:kern w:val="32"/>
          <w:sz w:val="28"/>
          <w:szCs w:val="28"/>
        </w:rPr>
      </w:pPr>
      <w:r>
        <w:rPr>
          <w:rFonts w:ascii="B Zar" w:eastAsia="Times New Roman" w:hAnsi="B Zar" w:cs="B Zar" w:hint="cs"/>
          <w:b/>
          <w:bCs/>
          <w:kern w:val="32"/>
          <w:sz w:val="28"/>
          <w:szCs w:val="28"/>
          <w:rtl/>
          <w:lang w:bidi="ar-SA"/>
        </w:rPr>
        <w:t>-1-مقدمه</w:t>
      </w:r>
    </w:p>
    <w:p w:rsidR="000F5E3D" w:rsidRDefault="000F5E3D" w:rsidP="000F5E3D">
      <w:pPr>
        <w:keepNext/>
        <w:spacing w:after="0"/>
        <w:jc w:val="both"/>
        <w:outlineLvl w:val="0"/>
        <w:rPr>
          <w:rFonts w:ascii="B Zar" w:eastAsia="Times New Roman" w:hAnsi="B Zar" w:cs="B Zar" w:hint="cs"/>
          <w:kern w:val="32"/>
          <w:sz w:val="28"/>
          <w:szCs w:val="28"/>
          <w:rtl/>
        </w:rPr>
      </w:pPr>
      <w:r>
        <w:rPr>
          <w:rFonts w:ascii="B Zar" w:eastAsia="Times New Roman" w:hAnsi="B Zar" w:cs="B Zar" w:hint="cs"/>
          <w:kern w:val="32"/>
          <w:sz w:val="28"/>
          <w:szCs w:val="28"/>
          <w:rtl/>
        </w:rPr>
        <w:t>نوجوانی یكی از مهم‌ترین و حساس‌ترین دوران زندگی انسان به شمار می‌رود. دختران در دوره نوجوانی در مقایسه با پسران تنش و تنیدگی بیشتری را تجربه می‌کنند و برای کنار آمدن با آن‌ها معمولاً به‌صورت هیجانی واکنش نشان می‌دهند. یكی از آسان‌ترین راه‌ها برای رویارویی با تنش‌ها فرار است(معظمی، 1382). فرار از خانه یک سازوکار روانی است که نوجوانان و جوانان برای رسیدن به امنیت درونی و رهایی از سلطه والدین به آن مبادرت می‌کنند(زارعی نژاد و میر هاشمی، 1395).</w:t>
      </w:r>
    </w:p>
    <w:p w:rsidR="000F5E3D" w:rsidRDefault="000F5E3D" w:rsidP="000F5E3D">
      <w:pPr>
        <w:keepNext/>
        <w:spacing w:after="0"/>
        <w:jc w:val="both"/>
        <w:outlineLvl w:val="0"/>
        <w:rPr>
          <w:rFonts w:ascii="B Zar" w:eastAsia="Times New Roman" w:hAnsi="B Zar" w:cs="B Zar" w:hint="cs"/>
          <w:kern w:val="32"/>
          <w:sz w:val="28"/>
          <w:szCs w:val="28"/>
          <w:rtl/>
        </w:rPr>
      </w:pPr>
      <w:r>
        <w:rPr>
          <w:rFonts w:ascii="B Zar" w:eastAsia="Times New Roman" w:hAnsi="B Zar" w:cs="B Zar" w:hint="cs"/>
          <w:kern w:val="32"/>
          <w:sz w:val="28"/>
          <w:szCs w:val="28"/>
          <w:rtl/>
        </w:rPr>
        <w:t>افزایش</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فزاینده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پدیده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خانه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میان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دختران</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 xml:space="preserve">درسالهای </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اخیر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پیامدهاي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اجتماعی،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فرهنگی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بهداشتی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آن،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توجه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محققان،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روانشناسان،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سیاست‌گذاران</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جمعیت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عمومی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این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پدیده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معطوف ساخته است</w:t>
      </w:r>
      <w:r>
        <w:rPr>
          <w:rFonts w:ascii="B Zar" w:eastAsia="Times New Roman" w:hAnsi="B Zar" w:cs="B Zar" w:hint="cs"/>
          <w:kern w:val="32"/>
          <w:sz w:val="28"/>
          <w:szCs w:val="28"/>
          <w:lang w:bidi="ar-SA"/>
        </w:rPr>
        <w:t>.</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ایران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شمار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نوجوانان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به‌گونه‌ای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نگران‌کننده</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حال</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افزایش</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است.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نتایج</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گزارش‌های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منتشرشده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افزایش</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چشمگیر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پدیده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خانه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میان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دختران</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ایرانی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طی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مهروموم‌های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اخیر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حکایت دارد(آقا محمدی، کجباف، نشاط دوست، عابدی و کاظمی، 1389)؛</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بنابراین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دختران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خانه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ایران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به‌عنوان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یکی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مشکلات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حاد</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روز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مطرح</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است؛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این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دختران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خیابان‌ها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به‌عنوان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راهی</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براي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مشکلات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انتخاب می‌کنند</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آواره‌های</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طردشده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جامعه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تبدیل می‌شوند(فولادیان، امین و هاشمی، 1390).</w:t>
      </w:r>
    </w:p>
    <w:p w:rsidR="000F5E3D" w:rsidRDefault="000F5E3D" w:rsidP="000F5E3D">
      <w:pPr>
        <w:keepNext/>
        <w:spacing w:after="0"/>
        <w:jc w:val="both"/>
        <w:outlineLvl w:val="0"/>
        <w:rPr>
          <w:rFonts w:ascii="Times New Roman" w:eastAsia="Times New Roman" w:hAnsi="Times New Roman" w:cs="B Zar" w:hint="cs"/>
          <w:sz w:val="28"/>
          <w:szCs w:val="28"/>
          <w:rtl/>
        </w:rPr>
      </w:pP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دختران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فراري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پس</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ترك</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خانه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مسائل</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زیادي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مواجه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می‌شوند؛</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مشکلاتی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که</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سلامت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جسمی،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روحی،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روانی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اجتماعی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آن‌ها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را</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تهدید می‌کند؛</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براي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نمونه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در</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معرض</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بیماری‌های</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مقاربتی،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مشکلات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جنسی،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ضایعات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پوستی،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ضعف</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سیستم</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ایمنی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بدن،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سوءتغذیه</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نابهنجاری‌های</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روان‌شناختی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از</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قبیل</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افسردگی،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کاهش</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عزت‌نفس</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احساس</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کفایت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کارآمدي،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پرخاشگري،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اعتیاد</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سوءمصرف</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مواد،</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اختلال‌های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سلوك</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رفتارهاي،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ضداجتماعی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میزان</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بالاي</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خودکشی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قرارمی گیرند</w:t>
      </w:r>
      <w:r>
        <w:rPr>
          <w:rFonts w:ascii="B Zar" w:eastAsia="Times New Roman" w:hAnsi="B Zar" w:cs="B Zar" w:hint="cs"/>
          <w:kern w:val="32"/>
          <w:sz w:val="28"/>
          <w:szCs w:val="28"/>
          <w:rtl/>
          <w:lang w:bidi="ar-SA"/>
        </w:rPr>
        <w:t>(اسلسنیچ، مایرز، میدا و سیگللتن</w:t>
      </w:r>
      <w:r>
        <w:rPr>
          <w:rStyle w:val="FootnoteReference"/>
          <w:rFonts w:eastAsiaTheme="minorHAnsi"/>
          <w:kern w:val="32"/>
          <w:sz w:val="28"/>
          <w:szCs w:val="28"/>
          <w:rtl/>
        </w:rPr>
        <w:footnoteReference w:id="1"/>
      </w:r>
      <w:r>
        <w:rPr>
          <w:rFonts w:ascii="B Zar" w:eastAsia="Times New Roman" w:hAnsi="B Zar" w:cs="B Zar" w:hint="cs"/>
          <w:kern w:val="32"/>
          <w:sz w:val="28"/>
          <w:szCs w:val="28"/>
          <w:rtl/>
          <w:lang w:bidi="ar-SA"/>
        </w:rPr>
        <w:t>، 2002؛ موریوویتز</w:t>
      </w:r>
      <w:r>
        <w:rPr>
          <w:rStyle w:val="FootnoteReference"/>
          <w:rFonts w:eastAsiaTheme="minorHAnsi"/>
          <w:kern w:val="32"/>
          <w:sz w:val="28"/>
          <w:szCs w:val="28"/>
          <w:rtl/>
        </w:rPr>
        <w:footnoteReference w:id="2"/>
      </w:r>
      <w:r>
        <w:rPr>
          <w:rFonts w:ascii="B Zar" w:eastAsia="Times New Roman" w:hAnsi="B Zar" w:cs="B Zar" w:hint="cs"/>
          <w:kern w:val="32"/>
          <w:sz w:val="28"/>
          <w:szCs w:val="28"/>
          <w:rtl/>
          <w:lang w:bidi="ar-SA"/>
        </w:rPr>
        <w:t>، 2016). ازجمله مسائلی که در این‌گونه دختران وجود دارد، عدم رضایت از زندگی و بهزیستی روان‌شناختی است که این عوامل باعث مسائلی دیگر ازجمله خودکشی، گرایش به مواد مخدر و.... می‌شود</w:t>
      </w:r>
      <w:r>
        <w:rPr>
          <w:rFonts w:ascii="B Zar" w:eastAsia="Times New Roman" w:hAnsi="B Zar" w:cs="B Zar" w:hint="cs"/>
          <w:kern w:val="32"/>
          <w:sz w:val="28"/>
          <w:szCs w:val="28"/>
          <w:rtl/>
        </w:rPr>
        <w:t xml:space="preserve">؛ </w:t>
      </w:r>
      <w:r>
        <w:rPr>
          <w:rFonts w:ascii="Times New Roman" w:eastAsia="Times New Roman" w:hAnsi="Times New Roman" w:cs="B Zar" w:hint="cs"/>
          <w:sz w:val="28"/>
          <w:szCs w:val="28"/>
          <w:rtl/>
        </w:rPr>
        <w:t>بنابراین بسیاري</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از</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جوامع</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و سازمان‌ها</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اکنون</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دریافته‌اند</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که</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پس</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از</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وقایع</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منفی</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مهم زندگی،</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شامل</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بلایاي</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طبیعی،</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زندانی</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شدن، فرار از خانه</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و</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نظایر</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آن</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ارائه مداخلات</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آموزشی</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ضرورت</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پیدا</w:t>
      </w:r>
      <w:r>
        <w:rPr>
          <w:rFonts w:ascii="Times New Roman" w:eastAsia="Times New Roman" w:hAnsi="Times New Roman" w:cs="B Zar"/>
          <w:sz w:val="28"/>
          <w:szCs w:val="28"/>
        </w:rPr>
        <w:t xml:space="preserve"> </w:t>
      </w:r>
      <w:r>
        <w:rPr>
          <w:rFonts w:ascii="Times New Roman" w:eastAsia="Times New Roman" w:hAnsi="Times New Roman" w:cs="B Zar" w:hint="cs"/>
          <w:sz w:val="28"/>
          <w:szCs w:val="28"/>
          <w:rtl/>
        </w:rPr>
        <w:t>می‌کند(هرمن</w:t>
      </w:r>
      <w:r>
        <w:rPr>
          <w:rFonts w:ascii="Times New Roman" w:eastAsia="Times New Roman" w:hAnsi="Times New Roman" w:cs="B Zar"/>
          <w:sz w:val="28"/>
          <w:szCs w:val="28"/>
          <w:vertAlign w:val="superscript"/>
          <w:rtl/>
        </w:rPr>
        <w:footnoteReference w:id="3"/>
      </w:r>
      <w:r>
        <w:rPr>
          <w:rFonts w:ascii="Times New Roman" w:eastAsia="Times New Roman" w:hAnsi="Times New Roman" w:cs="B Zar" w:hint="cs"/>
          <w:sz w:val="28"/>
          <w:szCs w:val="28"/>
          <w:rtl/>
        </w:rPr>
        <w:t xml:space="preserve">، 2012). </w:t>
      </w:r>
    </w:p>
    <w:p w:rsidR="000F5E3D" w:rsidRDefault="000F5E3D" w:rsidP="000F5E3D">
      <w:pPr>
        <w:keepNext/>
        <w:spacing w:after="0"/>
        <w:jc w:val="both"/>
        <w:outlineLvl w:val="0"/>
        <w:rPr>
          <w:rFonts w:ascii="B Zar" w:eastAsia="Times New Roman" w:hAnsi="B Zar" w:cs="B Zar" w:hint="cs"/>
          <w:kern w:val="32"/>
          <w:sz w:val="28"/>
          <w:szCs w:val="28"/>
          <w:rtl/>
          <w:lang w:bidi="ar-SA"/>
        </w:rPr>
      </w:pPr>
      <w:r>
        <w:rPr>
          <w:rFonts w:ascii="Times New Roman" w:eastAsia="Times New Roman" w:hAnsi="Times New Roman" w:cs="B Zar" w:hint="cs"/>
          <w:sz w:val="28"/>
          <w:szCs w:val="28"/>
          <w:rtl/>
        </w:rPr>
        <w:t xml:space="preserve">ازاین‌رو لازم است به دختران فراری آموزش‌هایی داده شود که ازلحاظ روحی و روانی در آن‌ها تأثیر گذاشته و سپس در رفتار آن‌ها هم‌تغییر حاصل گردد. اخیراً محققین و روان شناسان به بعد معنویت و مذهب توجه فراوانی </w:t>
      </w:r>
      <w:r>
        <w:rPr>
          <w:rFonts w:ascii="Times New Roman" w:eastAsia="Times New Roman" w:hAnsi="Times New Roman" w:cs="B Zar" w:hint="cs"/>
          <w:sz w:val="28"/>
          <w:szCs w:val="28"/>
          <w:rtl/>
        </w:rPr>
        <w:lastRenderedPageBreak/>
        <w:t>داشته‌اند و به این اشاره‌کرده‌اند که معنویت می‌تواند به نوجوانان در جهت داشتن سلامت روان کمک کند و آن‌ها را از مشکلاتی روانی مانند افسردگی و ناامیدی رهایی بخشد (نیومن و نیومن</w:t>
      </w:r>
      <w:r>
        <w:rPr>
          <w:rStyle w:val="FootnoteReference"/>
          <w:rFonts w:eastAsiaTheme="minorHAnsi"/>
          <w:sz w:val="28"/>
          <w:szCs w:val="28"/>
          <w:rtl/>
        </w:rPr>
        <w:footnoteReference w:id="4"/>
      </w:r>
      <w:r>
        <w:rPr>
          <w:rFonts w:ascii="Times New Roman" w:eastAsia="Times New Roman" w:hAnsi="Times New Roman" w:cs="B Zar" w:hint="cs"/>
          <w:sz w:val="28"/>
          <w:szCs w:val="28"/>
          <w:rtl/>
        </w:rPr>
        <w:t>، 2009)؛ لذا پژوهش حاضر برای بررسی هدف پژوهشی</w:t>
      </w:r>
      <w:r>
        <w:rPr>
          <w:rFonts w:ascii="Times New Roman" w:eastAsia="Times New Roman" w:hAnsi="Times New Roman" w:cs="B Zar" w:hint="cs"/>
          <w:sz w:val="28"/>
          <w:szCs w:val="28"/>
          <w:rtl/>
          <w:lang w:bidi="ar-SA"/>
        </w:rPr>
        <w:t xml:space="preserve"> اثربخشی آموزش مشاوره گروهی مبتنی بر قرآن و نیایش بر سلامت معنوی دختران بازپروری بهزیستی شهر اصفهان</w:t>
      </w:r>
      <w:r>
        <w:rPr>
          <w:rFonts w:ascii="Times New Roman" w:eastAsia="Times New Roman" w:hAnsi="Times New Roman" w:cs="B Zar" w:hint="cs"/>
          <w:sz w:val="28"/>
          <w:szCs w:val="28"/>
          <w:rtl/>
        </w:rPr>
        <w:t xml:space="preserve"> در پنج فصل تنظیم شد که فصل اول شامل کلیات پژوهش(بیان مساله، ضرورت و اهمیت پژوهش، اهداف و فرضیات پژوهش) می‌باشد</w:t>
      </w:r>
      <w:r>
        <w:rPr>
          <w:rFonts w:ascii="B Zar" w:eastAsia="Times New Roman" w:hAnsi="B Zar" w:cs="B Zar" w:hint="cs"/>
          <w:kern w:val="32"/>
          <w:sz w:val="28"/>
          <w:szCs w:val="28"/>
          <w:rtl/>
          <w:lang w:bidi="ar-SA"/>
        </w:rPr>
        <w:t>.</w:t>
      </w:r>
    </w:p>
    <w:p w:rsidR="000F5E3D" w:rsidRDefault="000F5E3D" w:rsidP="000F5E3D">
      <w:pPr>
        <w:keepNext/>
        <w:spacing w:after="0"/>
        <w:jc w:val="both"/>
        <w:outlineLvl w:val="0"/>
        <w:rPr>
          <w:rFonts w:ascii="B Zar" w:eastAsia="Times New Roman" w:hAnsi="B Zar" w:cs="B Zar" w:hint="cs"/>
          <w:kern w:val="32"/>
          <w:sz w:val="28"/>
          <w:szCs w:val="28"/>
          <w:rtl/>
        </w:rPr>
      </w:pPr>
    </w:p>
    <w:p w:rsidR="000F5E3D" w:rsidRDefault="000F5E3D" w:rsidP="000F5E3D">
      <w:pPr>
        <w:keepNext/>
        <w:spacing w:after="0"/>
        <w:jc w:val="both"/>
        <w:outlineLvl w:val="0"/>
        <w:rPr>
          <w:rFonts w:ascii="B Zar" w:eastAsia="Times New Roman" w:hAnsi="B Zar" w:cs="B Zar" w:hint="cs"/>
          <w:b/>
          <w:bCs/>
          <w:kern w:val="32"/>
          <w:sz w:val="28"/>
          <w:szCs w:val="28"/>
          <w:rtl/>
          <w:lang w:bidi="ar-SA"/>
        </w:rPr>
      </w:pPr>
      <w:r>
        <w:rPr>
          <w:rFonts w:ascii="B Zar" w:eastAsia="Times New Roman" w:hAnsi="B Zar" w:cs="B Zar" w:hint="cs"/>
          <w:b/>
          <w:bCs/>
          <w:kern w:val="32"/>
          <w:sz w:val="28"/>
          <w:szCs w:val="28"/>
          <w:rtl/>
          <w:lang w:bidi="ar-SA"/>
        </w:rPr>
        <w:t xml:space="preserve">1-2-بيان مسأله </w:t>
      </w:r>
    </w:p>
    <w:p w:rsidR="000F5E3D" w:rsidRDefault="000F5E3D" w:rsidP="000F5E3D">
      <w:pPr>
        <w:keepNext/>
        <w:spacing w:after="0"/>
        <w:jc w:val="both"/>
        <w:outlineLvl w:val="0"/>
        <w:rPr>
          <w:rFonts w:cs="B Zar" w:hint="cs"/>
          <w:sz w:val="28"/>
          <w:szCs w:val="28"/>
          <w:rtl/>
        </w:rPr>
      </w:pPr>
      <w:r>
        <w:rPr>
          <w:rFonts w:ascii="B Zar" w:eastAsia="Times New Roman" w:hAnsi="B Zar" w:cs="B Zar" w:hint="cs"/>
          <w:kern w:val="32"/>
          <w:sz w:val="28"/>
          <w:szCs w:val="28"/>
          <w:rtl/>
          <w:lang w:bidi="ar-SA"/>
        </w:rPr>
        <w:t xml:space="preserve">بعد معنوی از ابعاد مهم سلامت در انسان و نیروی یگانه‌ای است </w:t>
      </w:r>
      <w:r>
        <w:rPr>
          <w:rFonts w:cs="B Zar" w:hint="cs"/>
          <w:sz w:val="28"/>
          <w:szCs w:val="28"/>
          <w:rtl/>
        </w:rPr>
        <w:t xml:space="preserve">که ابعاد جسمی، روانی و اجتماعی انسان را تشکیل می‌دهد وقتی سلامت معنوی به خطر می‌افتد ممکن فرد دچار اختلالات روحی مانند احساس تنهایی، انزوا افسردگی در زندگی شود(باقری، اکبری زاده و حاتمی، 1390). </w:t>
      </w:r>
      <w:r>
        <w:rPr>
          <w:rFonts w:ascii="B Zar" w:eastAsia="Times New Roman" w:hAnsi="B Zar" w:cs="B Zar" w:hint="cs"/>
          <w:kern w:val="32"/>
          <w:sz w:val="28"/>
          <w:szCs w:val="28"/>
          <w:rtl/>
          <w:lang w:bidi="ar-SA"/>
        </w:rPr>
        <w:t>معنویت در درازمدت منبع اصلی معنی در زندگی شناخته‌شده است؛ به باورها، انتظارات و اهداف اصلی جهت می‌دهد و آن‌ها را در جایگاهی برتر و بافت غایی و هدفمند قرار می‌دهد(کینگ</w:t>
      </w:r>
      <w:r>
        <w:rPr>
          <w:rStyle w:val="FootnoteReference"/>
          <w:rFonts w:eastAsiaTheme="minorHAnsi"/>
          <w:kern w:val="32"/>
          <w:sz w:val="28"/>
          <w:szCs w:val="28"/>
          <w:rtl/>
        </w:rPr>
        <w:footnoteReference w:id="5"/>
      </w:r>
      <w:r>
        <w:rPr>
          <w:rFonts w:ascii="B Zar" w:eastAsia="Times New Roman" w:hAnsi="B Zar" w:cs="B Zar" w:hint="cs"/>
          <w:kern w:val="32"/>
          <w:sz w:val="28"/>
          <w:szCs w:val="28"/>
          <w:rtl/>
          <w:lang w:bidi="ar-SA"/>
        </w:rPr>
        <w:t>، 2008). برخی مطالعات نشان می‌دهند، تقویت بعد معنوی بر سازگاری ،ارتقای سلامت روانی،کاهش علائم بیماری اثر مثبت دارد(آقایانی و همکاران، 2008)</w:t>
      </w:r>
      <w:r>
        <w:rPr>
          <w:rFonts w:cs="B Zar" w:hint="cs"/>
          <w:sz w:val="28"/>
          <w:szCs w:val="28"/>
          <w:rtl/>
        </w:rPr>
        <w:t>. در حال حاضر اغلب مدل‌های سلامتی، شامل سلامت معنوی نیز می‌باشد. به همین دلیل مفهوم معنویت با همه حیطه‌های بهداشتی در تمام سنین ارتباط دارد و موردعلاقه تمام پژوهشگران دنیاست (امیدواری، 1385) و</w:t>
      </w:r>
      <w:r>
        <w:rPr>
          <w:rFonts w:ascii="B Zar" w:eastAsia="Times New Roman" w:hAnsi="B Zar" w:cs="B Zar" w:hint="cs"/>
          <w:kern w:val="32"/>
          <w:sz w:val="28"/>
          <w:szCs w:val="28"/>
          <w:rtl/>
          <w:lang w:bidi="ar-SA"/>
        </w:rPr>
        <w:t xml:space="preserve"> تأثیر سلامت معنوی بر زندگی فردی بدین شکل است که فرد با افزایش گرایش دینی به‌نوعی خودکنترلی دست پیدا می‌کند که مانع از اثربخشی وضعیت بیرونی می‌شود و درنتیجه کمتر تحت تأثیر موقعیت نامناسب قرار می‌گیرد و سلامت روان خود را حفظ می‌کند (تبرائی و همکاران، 1387). ازآنجاکه دختران بازپروری دخترانی هستند که</w:t>
      </w:r>
      <w:r>
        <w:rPr>
          <w:rFonts w:ascii="Times New Roman" w:eastAsia="Times New Roman" w:hAnsi="Times New Roman" w:cs="B Zar" w:hint="cs"/>
          <w:color w:val="000000"/>
          <w:sz w:val="28"/>
          <w:szCs w:val="28"/>
          <w:rtl/>
          <w:lang w:bidi="ar-SA"/>
        </w:rPr>
        <w:t xml:space="preserve"> به خاطر طیف گسترده‌ای از دلایل مانند جستجوي استقلال و خودمختاري، واکنش خشم‌آلود نسبت به محیط و افراد و تلاش براي راحتی، آینده سازي، خلاصی از نزاع و کشمکش با والدین، سطح فرهنگ خانواده، شیوه‌های تربیتی والدین، طلاق، مرگ و فقر، طردشدگی، ناسازگاري باارزش‌ها، نجات از صدمات روانی جسمانی و جنسی، اعتیاد، روابط بی‌مهابای جنسی و سایر رفتارهاي مخاطره‌آمیز خانه‌های خود را ترك می‌کنند(سالیوان و ناستون</w:t>
      </w:r>
      <w:r>
        <w:rPr>
          <w:rStyle w:val="FootnoteReference"/>
          <w:rFonts w:eastAsiaTheme="minorHAnsi"/>
          <w:sz w:val="28"/>
          <w:szCs w:val="28"/>
          <w:rtl/>
        </w:rPr>
        <w:footnoteReference w:id="6"/>
      </w:r>
      <w:r>
        <w:rPr>
          <w:rFonts w:ascii="Times New Roman" w:eastAsia="Times New Roman" w:hAnsi="Times New Roman" w:cs="B Zar"/>
          <w:color w:val="000000"/>
          <w:sz w:val="28"/>
          <w:szCs w:val="28"/>
          <w:vertAlign w:val="superscript"/>
          <w:rtl/>
          <w:lang w:bidi="ar-SA"/>
        </w:rPr>
        <w:footnoteReference w:id="7"/>
      </w:r>
      <w:r>
        <w:rPr>
          <w:rFonts w:ascii="Times New Roman" w:eastAsia="Times New Roman" w:hAnsi="Times New Roman" w:cs="B Zar" w:hint="cs"/>
          <w:color w:val="000000"/>
          <w:sz w:val="28"/>
          <w:szCs w:val="28"/>
          <w:rtl/>
          <w:lang w:bidi="ar-SA"/>
        </w:rPr>
        <w:t>،2016</w:t>
      </w:r>
      <w:r>
        <w:rPr>
          <w:rFonts w:ascii="Times New Roman" w:eastAsia="Times New Roman" w:hAnsi="Times New Roman" w:cs="B Zar" w:hint="cs"/>
          <w:color w:val="000000"/>
          <w:sz w:val="28"/>
          <w:szCs w:val="28"/>
          <w:rtl/>
        </w:rPr>
        <w:t xml:space="preserve">؛ </w:t>
      </w:r>
      <w:r>
        <w:rPr>
          <w:rFonts w:ascii="Times New Roman" w:eastAsia="Times New Roman" w:hAnsi="Times New Roman" w:cs="B Zar" w:hint="cs"/>
          <w:color w:val="000000"/>
          <w:sz w:val="28"/>
          <w:szCs w:val="28"/>
          <w:rtl/>
          <w:lang w:bidi="ar-SA"/>
        </w:rPr>
        <w:lastRenderedPageBreak/>
        <w:t>روزنتهال</w:t>
      </w:r>
      <w:r>
        <w:rPr>
          <w:rFonts w:ascii="Times New Roman" w:eastAsia="Times New Roman" w:hAnsi="Times New Roman" w:cs="B Zar" w:hint="cs"/>
          <w:color w:val="000000"/>
          <w:sz w:val="28"/>
          <w:szCs w:val="28"/>
          <w:rtl/>
        </w:rPr>
        <w:t>، مالت و مایرز</w:t>
      </w:r>
      <w:r>
        <w:rPr>
          <w:rFonts w:ascii="Times New Roman" w:eastAsia="Times New Roman" w:hAnsi="Times New Roman" w:cs="B Zar"/>
          <w:color w:val="000000"/>
          <w:sz w:val="28"/>
          <w:szCs w:val="28"/>
          <w:vertAlign w:val="superscript"/>
          <w:rtl/>
          <w:lang w:bidi="ar-SA"/>
        </w:rPr>
        <w:footnoteReference w:id="8"/>
      </w:r>
      <w:r>
        <w:rPr>
          <w:rFonts w:ascii="Times New Roman" w:eastAsia="Times New Roman" w:hAnsi="Times New Roman" w:cs="B Zar" w:hint="cs"/>
          <w:color w:val="000000"/>
          <w:sz w:val="28"/>
          <w:szCs w:val="28"/>
          <w:rtl/>
          <w:lang w:bidi="ar-SA"/>
        </w:rPr>
        <w:t>،2016؛ هرشبرگر و همکاران</w:t>
      </w:r>
      <w:r>
        <w:rPr>
          <w:rFonts w:ascii="Times New Roman" w:eastAsia="Times New Roman" w:hAnsi="Times New Roman" w:cs="B Zar"/>
          <w:color w:val="000000"/>
          <w:sz w:val="28"/>
          <w:szCs w:val="28"/>
          <w:vertAlign w:val="superscript"/>
          <w:rtl/>
          <w:lang w:bidi="ar-SA"/>
        </w:rPr>
        <w:footnoteReference w:id="9"/>
      </w:r>
      <w:r>
        <w:rPr>
          <w:rFonts w:ascii="Times New Roman" w:eastAsia="Times New Roman" w:hAnsi="Times New Roman" w:cs="B Zar" w:hint="cs"/>
          <w:color w:val="000000"/>
          <w:sz w:val="28"/>
          <w:szCs w:val="28"/>
          <w:rtl/>
          <w:lang w:bidi="ar-SA"/>
        </w:rPr>
        <w:t>، 2018</w:t>
      </w:r>
      <w:r>
        <w:rPr>
          <w:rFonts w:ascii="B Zar" w:eastAsia="Times New Roman" w:hAnsi="B Zar" w:cs="B Zar" w:hint="cs"/>
          <w:kern w:val="32"/>
          <w:sz w:val="28"/>
          <w:szCs w:val="28"/>
          <w:rtl/>
          <w:lang w:bidi="ar-SA"/>
        </w:rPr>
        <w:t xml:space="preserve">)، و بنابراین </w:t>
      </w:r>
      <w:r>
        <w:rPr>
          <w:rFonts w:ascii="B Zar" w:eastAsia="Times New Roman" w:hAnsi="B Zar" w:cs="B Zar" w:hint="cs"/>
          <w:kern w:val="32"/>
          <w:sz w:val="28"/>
          <w:szCs w:val="28"/>
          <w:rtl/>
        </w:rPr>
        <w:t>دچار مشکلاتی</w:t>
      </w:r>
      <w:r>
        <w:rPr>
          <w:rFonts w:eastAsia="Times New Roman" w:cs="B Zar" w:hint="cs"/>
          <w:kern w:val="32"/>
          <w:sz w:val="28"/>
          <w:szCs w:val="28"/>
          <w:rtl/>
        </w:rPr>
        <w:t xml:space="preserve"> می‌شوند که</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سلامت</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جسمی،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روحی،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روانی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و</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اجتماعی</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آن‌ها</w:t>
      </w:r>
      <w:r>
        <w:rPr>
          <w:rFonts w:ascii="B Zar" w:eastAsia="Times New Roman" w:hAnsi="B Zar" w:cs="B Zar" w:hint="cs"/>
          <w:kern w:val="32"/>
          <w:sz w:val="28"/>
          <w:szCs w:val="28"/>
          <w:lang w:bidi="ar-SA"/>
        </w:rPr>
        <w:t xml:space="preserve"> </w:t>
      </w:r>
      <w:r>
        <w:rPr>
          <w:rFonts w:ascii="B Zar" w:eastAsia="Times New Roman" w:hAnsi="B Zar" w:cs="B Zar" w:hint="cs"/>
          <w:kern w:val="32"/>
          <w:sz w:val="28"/>
          <w:szCs w:val="28"/>
          <w:rtl/>
        </w:rPr>
        <w:t>را</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تهدید می‌کند</w:t>
      </w:r>
      <w:r>
        <w:rPr>
          <w:rFonts w:cs="B Zar" w:hint="cs"/>
          <w:sz w:val="28"/>
          <w:szCs w:val="28"/>
          <w:rtl/>
        </w:rPr>
        <w:t xml:space="preserve">. </w:t>
      </w:r>
      <w:r>
        <w:rPr>
          <w:rFonts w:ascii="Cambria" w:eastAsia="Times New Roman" w:hAnsi="Cambria" w:cs="B Zar" w:hint="cs"/>
          <w:kern w:val="32"/>
          <w:sz w:val="28"/>
          <w:szCs w:val="28"/>
          <w:rtl/>
        </w:rPr>
        <w:t>و ازاین‌رو که در دین</w:t>
      </w:r>
      <w:r>
        <w:rPr>
          <w:rFonts w:ascii="B Zar" w:eastAsia="Times New Roman" w:hAnsi="B Zar" w:cs="B Zar" w:hint="cs"/>
          <w:kern w:val="32"/>
          <w:sz w:val="28"/>
          <w:szCs w:val="28"/>
          <w:rtl/>
          <w:lang w:bidi="ar-SA"/>
        </w:rPr>
        <w:t xml:space="preserve">  اسلام یکی از مهم‌ترین مسائل ،توجه به بهداشت  و سلامت جسمانی و روانی است .خداوند در قرآن می‌فرماید:«وننزل من القرآن ماهوشفاءورحمِۀ للمؤمنین ولایزیدالظالمین الاخسارا»(اسراء/82) و درجای دیگر می‌فرماید:«الذین آمنواوتطمئن قلوبهم بذکرالله الابذکرالله تطمئن القلوب»(رعد/28). بعضی از واجبات و محرمات الهی برای تأمین سلامتی و پیش‌گیری از ابتلا به امراض روحی و روانی تشریع شده است. در مکتب اسلام، هیچ انسانی حق ندارد با انجام کارهای زیان‌آور مانند سم خوردن و یا روی آوردن به کارهای ناشایست و به‌دوراز شأن و منزلت انسانی، به‌سلامت جسم و روان خود آسیب وارد کند و یا خود را در معرض هلاکت و ذلت قرار دهد. همچنین نسبت به‌سلامت جسمی و روحی دیگر همنوعان خود نیز مسئول است(خدایاری فرد، 1379). معنویت از راهبردهای سازگاری در گروه سنی نوجوان به شمار می‌رود(رسولی و همکاران، 1388)</w:t>
      </w:r>
      <w:r>
        <w:rPr>
          <w:rFonts w:cs="B Zar" w:hint="cs"/>
          <w:sz w:val="28"/>
          <w:szCs w:val="28"/>
          <w:rtl/>
          <w:lang w:bidi="ar-SA"/>
        </w:rPr>
        <w:t xml:space="preserve"> </w:t>
      </w:r>
      <w:r>
        <w:rPr>
          <w:rFonts w:cs="B Zar" w:hint="cs"/>
          <w:sz w:val="28"/>
          <w:szCs w:val="28"/>
          <w:rtl/>
        </w:rPr>
        <w:t>و اسلام برنامه سالم‌سازی انسان است، این سلامت در سایه تسلیم در برابر مشیت الهی و اجرای دستورات و قوانین خدای متعال به دست می‌آید، بنابراین همه‌ی قوانین و برنامه‌های اسلام، راه رسیدن به آرامش خیال و سلامت روان آماده می‌سازد(چاووشی و همکاران، 1387)</w:t>
      </w:r>
      <w:r>
        <w:rPr>
          <w:rFonts w:ascii="B Zar" w:eastAsia="Times New Roman" w:hAnsi="B Zar" w:cs="B Zar" w:hint="cs"/>
          <w:kern w:val="32"/>
          <w:sz w:val="28"/>
          <w:szCs w:val="28"/>
          <w:rtl/>
          <w:lang w:bidi="ar-SA"/>
        </w:rPr>
        <w:t>. شواهدی وجود دارد که نشان می‌دهد، اعتقادات قوی مذهبی، اشتیاق معنوی، نیایش و اعمال عبادی بر روی سلامت روانی و جسمی فرد اثرات مثبتی دارند (زینبوئر وپارگامنت</w:t>
      </w:r>
      <w:r>
        <w:rPr>
          <w:rStyle w:val="FootnoteReference"/>
          <w:rFonts w:eastAsiaTheme="minorHAnsi"/>
          <w:kern w:val="32"/>
          <w:sz w:val="28"/>
          <w:szCs w:val="28"/>
          <w:rtl/>
        </w:rPr>
        <w:footnoteReference w:id="10"/>
      </w:r>
      <w:r>
        <w:rPr>
          <w:rFonts w:ascii="B Zar" w:eastAsia="Times New Roman" w:hAnsi="B Zar" w:cs="B Zar" w:hint="cs"/>
          <w:kern w:val="32"/>
          <w:sz w:val="28"/>
          <w:szCs w:val="28"/>
          <w:rtl/>
          <w:lang w:bidi="ar-SA"/>
        </w:rPr>
        <w:t>، 2005). معنویت و مذهب مفاهیمی‌اند که با یکدیگر همپوشانی دارند و به‌صورت تجربی، هر دو در جستجوی معنا و هدف، تفوق، اتصال و ارزش‌ها را ممکن است شامل بــاشند. در این نگاه، مذهبی بودن شبیه معنویت است(عباسی</w:t>
      </w:r>
      <w:r>
        <w:rPr>
          <w:rFonts w:ascii="B Zar" w:eastAsia="Times New Roman" w:hAnsi="B Zar" w:cs="B Zar" w:hint="cs"/>
          <w:kern w:val="32"/>
          <w:sz w:val="28"/>
          <w:szCs w:val="28"/>
          <w:rtl/>
        </w:rPr>
        <w:t xml:space="preserve"> و همکاران</w:t>
      </w:r>
      <w:r>
        <w:rPr>
          <w:rFonts w:ascii="B Zar" w:eastAsia="Times New Roman" w:hAnsi="B Zar" w:cs="B Zar" w:hint="cs"/>
          <w:kern w:val="32"/>
          <w:sz w:val="28"/>
          <w:szCs w:val="28"/>
          <w:rtl/>
          <w:lang w:bidi="ar-SA"/>
        </w:rPr>
        <w:t>، 1392)</w:t>
      </w:r>
      <w:r>
        <w:rPr>
          <w:rFonts w:cs="B Zar" w:hint="cs"/>
          <w:sz w:val="28"/>
          <w:szCs w:val="28"/>
          <w:rtl/>
        </w:rPr>
        <w:t>. بسیاری از مردم به معنویت از طریق مذهب دست می‌یابند. بنابراین نیایش، خواندن کتاب‌های وحی یا حضوردر مراسم مذهبی با برخورداری از آن‌ها می‌توانند در مواجهه با حوادث تنش‌زای زندگی آسیب کم‌تری متحمل شوند(مراویجلیا</w:t>
      </w:r>
      <w:r>
        <w:rPr>
          <w:rStyle w:val="FootnoteReference"/>
          <w:rFonts w:eastAsiaTheme="minorHAnsi"/>
          <w:sz w:val="28"/>
          <w:szCs w:val="28"/>
          <w:rtl/>
        </w:rPr>
        <w:footnoteReference w:id="11"/>
      </w:r>
      <w:r>
        <w:rPr>
          <w:rFonts w:cs="B Zar" w:hint="cs"/>
          <w:sz w:val="28"/>
          <w:szCs w:val="28"/>
          <w:rtl/>
        </w:rPr>
        <w:t>، 1999)</w:t>
      </w:r>
      <w:r>
        <w:rPr>
          <w:rFonts w:ascii="B Zar" w:eastAsia="Times New Roman" w:hAnsi="B Zar" w:cs="B Zar" w:hint="cs"/>
          <w:kern w:val="32"/>
          <w:sz w:val="28"/>
          <w:szCs w:val="28"/>
          <w:rtl/>
          <w:lang w:bidi="ar-SA"/>
        </w:rPr>
        <w:t xml:space="preserve"> </w:t>
      </w:r>
      <w:r>
        <w:rPr>
          <w:rFonts w:ascii="B Zar" w:eastAsia="Times New Roman" w:hAnsi="B Zar" w:cs="B Zar" w:hint="cs"/>
          <w:kern w:val="32"/>
          <w:sz w:val="28"/>
          <w:szCs w:val="28"/>
          <w:rtl/>
        </w:rPr>
        <w:t>و معنویت از ابتدای خلقت انسان‌ها همواره قسمت عمده زندگی آنان را تشکیل می‌داده است. انسان‌ها معنویت خود را در ارتباط باخدا،آنچه ماورای زندگی روزمره آنان است و به زندگی و حیات معنی می‌دهد نشان می‌دادند(غباری بناب، 1388). این بعد وجود انسان فطری و ذاتی است و با توجه به رشد بالندگی انسان و درنتیجه انجام تمرینات و مناسک دینی متحول شده و ارتقاءمی یابد(غباری بناب، سلیمی، سلیمانی و نوری مقدم، 1384).</w:t>
      </w:r>
      <w:r>
        <w:rPr>
          <w:rFonts w:cs="B Zar" w:hint="cs"/>
          <w:sz w:val="28"/>
          <w:szCs w:val="28"/>
          <w:rtl/>
        </w:rPr>
        <w:t xml:space="preserve"> به‌طوری‌که</w:t>
      </w:r>
      <w:r>
        <w:rPr>
          <w:rFonts w:ascii="B Zar" w:eastAsia="Times New Roman" w:hAnsi="B Zar" w:cs="B Zar" w:hint="cs"/>
          <w:kern w:val="32"/>
          <w:sz w:val="28"/>
          <w:szCs w:val="28"/>
          <w:rtl/>
          <w:lang w:bidi="ar-SA"/>
        </w:rPr>
        <w:t xml:space="preserve"> افراد دینی با حوادث تنش‌زایی زندگی، که قابل‌پذیرش نیست، راحت‌تر سازگار </w:t>
      </w:r>
      <w:r>
        <w:rPr>
          <w:rFonts w:ascii="B Zar" w:eastAsia="Times New Roman" w:hAnsi="B Zar" w:cs="B Zar" w:hint="cs"/>
          <w:kern w:val="32"/>
          <w:sz w:val="28"/>
          <w:szCs w:val="28"/>
          <w:rtl/>
          <w:lang w:bidi="ar-SA"/>
        </w:rPr>
        <w:lastRenderedPageBreak/>
        <w:t>می‌شوند؛ ازاین‌رو دین باعث ایجاد امید در فرد می‌شود؛ باعث ایجاد انگیزه و انرژی در فرد می‌شود که او را به بهتر شدن اوضاع زندگی امیدوار می‌کند (بول</w:t>
      </w:r>
      <w:r>
        <w:rPr>
          <w:rStyle w:val="FootnoteReference"/>
          <w:rFonts w:eastAsiaTheme="minorHAnsi"/>
          <w:kern w:val="32"/>
          <w:sz w:val="28"/>
          <w:szCs w:val="28"/>
          <w:rtl/>
        </w:rPr>
        <w:footnoteReference w:id="12"/>
      </w:r>
      <w:r>
        <w:rPr>
          <w:rFonts w:ascii="B Zar" w:eastAsia="Times New Roman" w:hAnsi="B Zar" w:cs="B Zar" w:hint="cs"/>
          <w:kern w:val="32"/>
          <w:sz w:val="28"/>
          <w:szCs w:val="28"/>
          <w:rtl/>
          <w:lang w:bidi="ar-SA"/>
        </w:rPr>
        <w:t>، 2009)</w:t>
      </w:r>
      <w:r>
        <w:rPr>
          <w:rFonts w:cs="B Zar" w:hint="cs"/>
          <w:sz w:val="28"/>
          <w:szCs w:val="28"/>
          <w:rtl/>
        </w:rPr>
        <w:t xml:space="preserve">. </w:t>
      </w:r>
      <w:r>
        <w:rPr>
          <w:rFonts w:ascii="B Zar" w:eastAsia="Times New Roman" w:hAnsi="B Zar" w:cs="B Zar" w:hint="cs"/>
          <w:kern w:val="32"/>
          <w:sz w:val="28"/>
          <w:szCs w:val="28"/>
          <w:rtl/>
          <w:lang w:bidi="ar-SA"/>
        </w:rPr>
        <w:t>همچنین افراد دینی احساس آزادی شخصی بیشتری نسبت به دیگران می‌کنند و این مسئله باعث افزایش تحمل و پذیرش موقعیت‌های غیرقابل تغییر در آن‌ها می‌شود. از سویی افراد دینی از الگوی تصمیم‌گیری خاصی استفاده می‌کنند و این الگو، فرد را در جهت افزایش تصمیم‌گیری‌های مفید برای اطرافیان، خود و کاهش تصمیم‌گیری‌های زیان‌آور سوق می‌دهد و این امر تا حدی از شدت فشارهای روانی زندگی می‌کاهد. معنویت تنها منبع پاسخگو به سؤالات نهایی است به‌ویژه در موارد اضطراری که علم قادر به پاسخگویی نیست(بول، 2009)</w:t>
      </w:r>
      <w:r>
        <w:rPr>
          <w:rFonts w:cs="B Zar" w:hint="cs"/>
          <w:sz w:val="28"/>
          <w:szCs w:val="28"/>
          <w:rtl/>
        </w:rPr>
        <w:t>. برخی مطالعات نشان می‌دهند که تقویت بعد معنوی بر سازگاری،ارتقای سلامت روانی،کاهش علائم بیماری اثر مثبت دارند. درواقع دین و معنویت می‌تواند منابع مهم قدرت و حمایت به‌منظور و خروج از وضعیت بحرانی و تنش‌ها در تمام دوران زندگی باشد (دالمن، پیرا و استیودنسکی</w:t>
      </w:r>
      <w:r>
        <w:rPr>
          <w:rStyle w:val="FootnoteReference"/>
          <w:rFonts w:eastAsiaTheme="minorHAnsi"/>
          <w:sz w:val="28"/>
          <w:szCs w:val="28"/>
          <w:rtl/>
        </w:rPr>
        <w:footnoteReference w:id="13"/>
      </w:r>
      <w:r>
        <w:rPr>
          <w:rFonts w:cs="B Zar" w:hint="cs"/>
          <w:sz w:val="28"/>
          <w:szCs w:val="28"/>
          <w:rtl/>
        </w:rPr>
        <w:t>، 2004). پژوهش‌ها نشان می‌دهد ایمان، اجرای رفتار دینی و شرکت در مراسم دینی می‌تواند نقش  مؤثری در جلوگیری از ابتلا به مشکلات روانی افراد و درمان آن داشته باشد و موجب ارتقا سطح سلامت و بهزیستی افراد شود (حسینی زاده آرانی و کلانتری، 1394).</w:t>
      </w:r>
    </w:p>
    <w:p w:rsidR="00141440" w:rsidRDefault="00141440">
      <w:bookmarkStart w:id="0" w:name="_GoBack"/>
      <w:bookmarkEnd w:id="0"/>
    </w:p>
    <w:sectPr w:rsidR="00141440"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D6C" w:rsidRDefault="00424D6C" w:rsidP="000F5E3D">
      <w:pPr>
        <w:spacing w:after="0" w:line="240" w:lineRule="auto"/>
      </w:pPr>
      <w:r>
        <w:separator/>
      </w:r>
    </w:p>
  </w:endnote>
  <w:endnote w:type="continuationSeparator" w:id="0">
    <w:p w:rsidR="00424D6C" w:rsidRDefault="00424D6C" w:rsidP="000F5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D6C" w:rsidRDefault="00424D6C" w:rsidP="000F5E3D">
      <w:pPr>
        <w:spacing w:after="0" w:line="240" w:lineRule="auto"/>
      </w:pPr>
      <w:r>
        <w:separator/>
      </w:r>
    </w:p>
  </w:footnote>
  <w:footnote w:type="continuationSeparator" w:id="0">
    <w:p w:rsidR="00424D6C" w:rsidRDefault="00424D6C" w:rsidP="000F5E3D">
      <w:pPr>
        <w:spacing w:after="0" w:line="240" w:lineRule="auto"/>
      </w:pPr>
      <w:r>
        <w:continuationSeparator/>
      </w:r>
    </w:p>
  </w:footnote>
  <w:footnote w:id="1">
    <w:p w:rsidR="000F5E3D" w:rsidRDefault="000F5E3D" w:rsidP="000F5E3D">
      <w:pPr>
        <w:pStyle w:val="FootnoteText"/>
        <w:bidi w:val="0"/>
        <w:rPr>
          <w:rFonts w:asciiTheme="majorBidi" w:hAnsiTheme="majorBidi" w:cstheme="majorBidi" w:hint="cs"/>
          <w:rtl/>
        </w:rPr>
      </w:pPr>
      <w:r>
        <w:rPr>
          <w:rStyle w:val="FootnoteReference"/>
          <w:rFonts w:asciiTheme="majorBidi" w:eastAsiaTheme="minorHAnsi" w:hAnsiTheme="majorBidi" w:cstheme="majorBidi"/>
        </w:rPr>
        <w:footnoteRef/>
      </w:r>
      <w:r>
        <w:rPr>
          <w:rFonts w:asciiTheme="majorBidi" w:hAnsiTheme="majorBidi" w:cstheme="majorBidi"/>
          <w:rtl/>
        </w:rPr>
        <w:t xml:space="preserve"> </w:t>
      </w:r>
      <w:proofErr w:type="spellStart"/>
      <w:proofErr w:type="gramStart"/>
      <w:r>
        <w:rPr>
          <w:rFonts w:asciiTheme="majorBidi" w:hAnsiTheme="majorBidi" w:cstheme="majorBidi"/>
        </w:rPr>
        <w:t>Slesnich</w:t>
      </w:r>
      <w:proofErr w:type="spellEnd"/>
      <w:r>
        <w:rPr>
          <w:rFonts w:asciiTheme="majorBidi" w:hAnsiTheme="majorBidi" w:cstheme="majorBidi"/>
        </w:rPr>
        <w:t>,  Meyers</w:t>
      </w:r>
      <w:proofErr w:type="gramEnd"/>
      <w:r>
        <w:rPr>
          <w:rFonts w:asciiTheme="majorBidi" w:hAnsiTheme="majorBidi" w:cstheme="majorBidi"/>
        </w:rPr>
        <w:t xml:space="preserve">, </w:t>
      </w:r>
      <w:proofErr w:type="spellStart"/>
      <w:r>
        <w:rPr>
          <w:rFonts w:asciiTheme="majorBidi" w:hAnsiTheme="majorBidi" w:cstheme="majorBidi"/>
        </w:rPr>
        <w:t>Meada</w:t>
      </w:r>
      <w:proofErr w:type="spellEnd"/>
      <w:r>
        <w:rPr>
          <w:rFonts w:asciiTheme="majorBidi" w:hAnsiTheme="majorBidi" w:cstheme="majorBidi"/>
        </w:rPr>
        <w:t xml:space="preserve"> &amp; </w:t>
      </w:r>
      <w:proofErr w:type="spellStart"/>
      <w:r>
        <w:rPr>
          <w:rFonts w:asciiTheme="majorBidi" w:hAnsiTheme="majorBidi" w:cstheme="majorBidi"/>
        </w:rPr>
        <w:t>Segelten</w:t>
      </w:r>
      <w:proofErr w:type="spellEnd"/>
    </w:p>
  </w:footnote>
  <w:footnote w:id="2">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proofErr w:type="spellStart"/>
      <w:r>
        <w:rPr>
          <w:rFonts w:asciiTheme="majorBidi" w:hAnsiTheme="majorBidi" w:cstheme="majorBidi"/>
        </w:rPr>
        <w:t>Morewitz</w:t>
      </w:r>
      <w:proofErr w:type="spellEnd"/>
    </w:p>
  </w:footnote>
  <w:footnote w:id="3">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Pr>
        <w:t xml:space="preserve"> Herman</w:t>
      </w:r>
    </w:p>
  </w:footnote>
  <w:footnote w:id="4">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r>
        <w:rPr>
          <w:rFonts w:asciiTheme="majorBidi" w:eastAsia="Times New Roman" w:hAnsiTheme="majorBidi" w:cstheme="majorBidi"/>
          <w:color w:val="000000"/>
          <w:lang w:bidi="ar-SA"/>
        </w:rPr>
        <w:t>Newman &amp; Newman</w:t>
      </w:r>
    </w:p>
  </w:footnote>
  <w:footnote w:id="5">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r>
        <w:rPr>
          <w:rFonts w:asciiTheme="majorBidi" w:hAnsiTheme="majorBidi" w:cstheme="majorBidi"/>
        </w:rPr>
        <w:t>King</w:t>
      </w:r>
    </w:p>
  </w:footnote>
  <w:footnote w:id="6">
    <w:p w:rsidR="000F5E3D" w:rsidRDefault="000F5E3D" w:rsidP="000F5E3D">
      <w:pPr>
        <w:rPr>
          <w:rFonts w:asciiTheme="majorBidi" w:hAnsiTheme="majorBidi" w:cstheme="majorBidi"/>
        </w:rPr>
      </w:pPr>
    </w:p>
    <w:p w:rsidR="000F5E3D" w:rsidRDefault="000F5E3D" w:rsidP="000F5E3D">
      <w:pPr>
        <w:pStyle w:val="FootnoteText"/>
        <w:rPr>
          <w:rFonts w:asciiTheme="majorBidi" w:hAnsiTheme="majorBidi" w:cstheme="majorBidi"/>
        </w:rPr>
      </w:pPr>
    </w:p>
  </w:footnote>
  <w:footnote w:id="7">
    <w:p w:rsidR="000F5E3D" w:rsidRDefault="000F5E3D" w:rsidP="000F5E3D">
      <w:pPr>
        <w:pStyle w:val="FootnoteText"/>
        <w:bidi w:val="0"/>
        <w:rPr>
          <w:rFonts w:asciiTheme="majorBidi" w:hAnsiTheme="majorBidi" w:cstheme="majorBidi"/>
          <w:rtl/>
        </w:rPr>
      </w:pPr>
      <w:r>
        <w:rPr>
          <w:rStyle w:val="FootnoteReference"/>
          <w:rFonts w:asciiTheme="majorBidi" w:eastAsiaTheme="minorHAnsi" w:hAnsiTheme="majorBidi" w:cstheme="majorBidi"/>
        </w:rPr>
        <w:footnoteRef/>
      </w:r>
      <w:r>
        <w:rPr>
          <w:rFonts w:asciiTheme="majorBidi" w:hAnsiTheme="majorBidi" w:cstheme="majorBidi"/>
        </w:rPr>
        <w:t xml:space="preserve"> Sullivan &amp; Knutson</w:t>
      </w:r>
    </w:p>
  </w:footnote>
  <w:footnote w:id="8">
    <w:p w:rsidR="000F5E3D" w:rsidRDefault="000F5E3D" w:rsidP="000F5E3D">
      <w:pPr>
        <w:pStyle w:val="FootnoteText"/>
        <w:bidi w:val="0"/>
        <w:rPr>
          <w:rFonts w:asciiTheme="majorBidi" w:hAnsiTheme="majorBidi" w:cstheme="majorBidi"/>
          <w:sz w:val="18"/>
          <w:szCs w:val="18"/>
        </w:rPr>
      </w:pPr>
      <w:r>
        <w:rPr>
          <w:rStyle w:val="FootnoteReference"/>
          <w:rFonts w:asciiTheme="majorBidi" w:eastAsiaTheme="minorHAnsi" w:hAnsiTheme="majorBidi" w:cstheme="majorBidi"/>
          <w:sz w:val="18"/>
          <w:szCs w:val="18"/>
        </w:rPr>
        <w:footnoteRef/>
      </w:r>
      <w:r>
        <w:rPr>
          <w:rFonts w:asciiTheme="majorBidi" w:hAnsiTheme="majorBidi" w:cstheme="majorBidi"/>
          <w:sz w:val="18"/>
          <w:szCs w:val="18"/>
        </w:rPr>
        <w:t xml:space="preserve"> Rosenthal, </w:t>
      </w:r>
      <w:proofErr w:type="spellStart"/>
      <w:r>
        <w:rPr>
          <w:rFonts w:asciiTheme="majorBidi" w:hAnsiTheme="majorBidi" w:cstheme="majorBidi"/>
          <w:sz w:val="18"/>
          <w:szCs w:val="18"/>
        </w:rPr>
        <w:t>Mallett</w:t>
      </w:r>
      <w:proofErr w:type="spellEnd"/>
      <w:r>
        <w:rPr>
          <w:rFonts w:asciiTheme="majorBidi" w:hAnsiTheme="majorBidi" w:cstheme="majorBidi"/>
          <w:sz w:val="18"/>
          <w:szCs w:val="18"/>
        </w:rPr>
        <w:t xml:space="preserve"> &amp; Myers</w:t>
      </w:r>
    </w:p>
  </w:footnote>
  <w:footnote w:id="9">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Pr>
        <w:t xml:space="preserve"> Hershberger &amp; et al</w:t>
      </w:r>
    </w:p>
  </w:footnote>
  <w:footnote w:id="10">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proofErr w:type="spellStart"/>
      <w:r>
        <w:rPr>
          <w:rFonts w:asciiTheme="majorBidi" w:hAnsiTheme="majorBidi" w:cstheme="majorBidi"/>
        </w:rPr>
        <w:t>Zinnbauer</w:t>
      </w:r>
      <w:proofErr w:type="spellEnd"/>
      <w:r>
        <w:rPr>
          <w:rFonts w:asciiTheme="majorBidi" w:hAnsiTheme="majorBidi" w:cstheme="majorBidi"/>
        </w:rPr>
        <w:t xml:space="preserve"> &amp; </w:t>
      </w:r>
      <w:proofErr w:type="spellStart"/>
      <w:r>
        <w:rPr>
          <w:rFonts w:asciiTheme="majorBidi" w:hAnsiTheme="majorBidi" w:cstheme="majorBidi"/>
        </w:rPr>
        <w:t>Pargament</w:t>
      </w:r>
      <w:proofErr w:type="spellEnd"/>
    </w:p>
  </w:footnote>
  <w:footnote w:id="11">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proofErr w:type="spellStart"/>
      <w:r>
        <w:rPr>
          <w:rFonts w:asciiTheme="majorBidi" w:hAnsiTheme="majorBidi" w:cstheme="majorBidi"/>
        </w:rPr>
        <w:t>Meraviglia</w:t>
      </w:r>
      <w:proofErr w:type="spellEnd"/>
    </w:p>
  </w:footnote>
  <w:footnote w:id="12">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r>
        <w:rPr>
          <w:rFonts w:asciiTheme="majorBidi" w:hAnsiTheme="majorBidi" w:cstheme="majorBidi"/>
        </w:rPr>
        <w:t>Bull</w:t>
      </w:r>
    </w:p>
  </w:footnote>
  <w:footnote w:id="13">
    <w:p w:rsidR="000F5E3D" w:rsidRDefault="000F5E3D" w:rsidP="000F5E3D">
      <w:pPr>
        <w:pStyle w:val="FootnoteText"/>
        <w:bidi w:val="0"/>
        <w:rPr>
          <w:rFonts w:asciiTheme="majorBidi" w:hAnsiTheme="majorBidi" w:cstheme="majorBidi"/>
        </w:rPr>
      </w:pPr>
      <w:r>
        <w:rPr>
          <w:rStyle w:val="FootnoteReference"/>
          <w:rFonts w:asciiTheme="majorBidi" w:eastAsiaTheme="minorHAnsi" w:hAnsiTheme="majorBidi" w:cstheme="majorBidi"/>
        </w:rPr>
        <w:footnoteRef/>
      </w:r>
      <w:r>
        <w:rPr>
          <w:rFonts w:asciiTheme="majorBidi" w:hAnsiTheme="majorBidi" w:cstheme="majorBidi"/>
          <w:rtl/>
        </w:rPr>
        <w:t xml:space="preserve"> </w:t>
      </w:r>
      <w:proofErr w:type="spellStart"/>
      <w:r>
        <w:rPr>
          <w:rFonts w:asciiTheme="majorBidi" w:hAnsiTheme="majorBidi" w:cstheme="majorBidi"/>
        </w:rPr>
        <w:t>Daaleman</w:t>
      </w:r>
      <w:proofErr w:type="spellEnd"/>
      <w:r>
        <w:rPr>
          <w:rFonts w:asciiTheme="majorBidi" w:hAnsiTheme="majorBidi" w:cstheme="majorBidi"/>
        </w:rPr>
        <w:t xml:space="preserve">, </w:t>
      </w:r>
      <w:proofErr w:type="spellStart"/>
      <w:r>
        <w:rPr>
          <w:rFonts w:asciiTheme="majorBidi" w:hAnsiTheme="majorBidi" w:cstheme="majorBidi"/>
        </w:rPr>
        <w:t>Perera</w:t>
      </w:r>
      <w:proofErr w:type="spellEnd"/>
      <w:r>
        <w:rPr>
          <w:rFonts w:asciiTheme="majorBidi" w:hAnsiTheme="majorBidi" w:cstheme="majorBidi"/>
        </w:rPr>
        <w:t xml:space="preserve"> &amp; </w:t>
      </w:r>
      <w:proofErr w:type="spellStart"/>
      <w:r>
        <w:rPr>
          <w:rFonts w:asciiTheme="majorBidi" w:hAnsiTheme="majorBidi" w:cstheme="majorBidi"/>
        </w:rPr>
        <w:t>Studenski</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E3D"/>
    <w:rsid w:val="000F5E3D"/>
    <w:rsid w:val="00141440"/>
    <w:rsid w:val="00424D6C"/>
    <w:rsid w:val="007341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711E99-26B6-4F0C-8786-011ACABCB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3D"/>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Char Char,پاورقي Char Char,متن زيرنويس Char,Footnote Text Char Char Char,Footnote Text Char1 Char1 Char Char,Footnote Text Char Char Char1 Char Char,Footnote Text Char1 Char1 Char Char Char Char,پاورقي Char1,Char Char Char Char Char"/>
    <w:basedOn w:val="DefaultParagraphFont"/>
    <w:link w:val="FootnoteText"/>
    <w:uiPriority w:val="99"/>
    <w:semiHidden/>
    <w:locked/>
    <w:rsid w:val="000F5E3D"/>
    <w:rPr>
      <w:sz w:val="20"/>
      <w:szCs w:val="20"/>
    </w:rPr>
  </w:style>
  <w:style w:type="paragraph" w:styleId="FootnoteText">
    <w:name w:val="footnote text"/>
    <w:aliases w:val="Char,پاورقي Char,متن زيرنويس,Footnote Text Char Char,Footnote Text Char1 Char1 Char,Footnote Text Char Char Char1 Char,Footnote Text Char1 Char1 Char Char Char,Footnote Text Char Char Char1 Char Char Char,پاورقي,Char Char Char Char"/>
    <w:basedOn w:val="Normal"/>
    <w:link w:val="FootnoteTextChar"/>
    <w:uiPriority w:val="99"/>
    <w:semiHidden/>
    <w:unhideWhenUsed/>
    <w:qFormat/>
    <w:rsid w:val="000F5E3D"/>
    <w:pPr>
      <w:spacing w:after="0" w:line="240" w:lineRule="auto"/>
    </w:pPr>
    <w:rPr>
      <w:sz w:val="20"/>
      <w:szCs w:val="20"/>
    </w:rPr>
  </w:style>
  <w:style w:type="character" w:customStyle="1" w:styleId="FootnoteTextChar1">
    <w:name w:val="Footnote Text Char1"/>
    <w:basedOn w:val="DefaultParagraphFont"/>
    <w:uiPriority w:val="99"/>
    <w:semiHidden/>
    <w:rsid w:val="000F5E3D"/>
    <w:rPr>
      <w:sz w:val="20"/>
      <w:szCs w:val="20"/>
    </w:rPr>
  </w:style>
  <w:style w:type="character" w:styleId="FootnoteReference">
    <w:name w:val="footnote reference"/>
    <w:aliases w:val="پاورقی,شماره زيرنويس,مرجع پاورقي,Omid Footnote,Footnote,Char Char1 Char,ماخذ"/>
    <w:uiPriority w:val="99"/>
    <w:semiHidden/>
    <w:unhideWhenUsed/>
    <w:qFormat/>
    <w:rsid w:val="000F5E3D"/>
    <w:rPr>
      <w:rFonts w:ascii="Times New Roman" w:eastAsia="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28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2022-02-07T06:15:00Z</dcterms:created>
  <dcterms:modified xsi:type="dcterms:W3CDTF">2022-02-07T06:15:00Z</dcterms:modified>
</cp:coreProperties>
</file>